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0A" w:rsidRPr="00633A0A" w:rsidRDefault="00811CF5" w:rsidP="00633A0A">
      <w:pPr>
        <w:shd w:val="clear" w:color="auto" w:fill="FFFFFF"/>
        <w:spacing w:line="31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CF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Paper </w:t>
      </w:r>
      <w:r w:rsidR="00C771A7">
        <w:rPr>
          <w:rFonts w:ascii="Times New Roman" w:hAnsi="Times New Roman" w:cs="Times New Roman"/>
          <w:b/>
          <w:bCs/>
          <w:smallCaps/>
          <w:sz w:val="24"/>
          <w:szCs w:val="24"/>
        </w:rPr>
        <w:t>Review</w:t>
      </w:r>
      <w:r w:rsidR="00633A0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: </w:t>
      </w:r>
      <w:r w:rsidR="00633A0A" w:rsidRPr="00633A0A">
        <w:rPr>
          <w:rFonts w:ascii="Times New Roman" w:hAnsi="Times New Roman" w:cs="Times New Roman"/>
          <w:sz w:val="24"/>
          <w:szCs w:val="24"/>
        </w:rPr>
        <w:t>“</w:t>
      </w:r>
      <w:r w:rsidR="00633A0A" w:rsidRPr="00633A0A">
        <w:rPr>
          <w:rFonts w:ascii="Times New Roman" w:hAnsi="Times New Roman" w:cs="Times New Roman"/>
          <w:i/>
          <w:iCs/>
          <w:sz w:val="24"/>
          <w:szCs w:val="24"/>
        </w:rPr>
        <w:t>Promoting Sustainability Using Passive Funds</w:t>
      </w:r>
      <w:r w:rsidR="00633A0A" w:rsidRPr="00633A0A">
        <w:rPr>
          <w:rFonts w:ascii="Times New Roman" w:hAnsi="Times New Roman" w:cs="Times New Roman"/>
          <w:sz w:val="24"/>
          <w:szCs w:val="24"/>
        </w:rPr>
        <w:t xml:space="preserve">” </w:t>
      </w:r>
      <w:r w:rsidR="00633A0A">
        <w:rPr>
          <w:rFonts w:ascii="Times New Roman" w:hAnsi="Times New Roman" w:cs="Times New Roman"/>
          <w:sz w:val="24"/>
          <w:szCs w:val="24"/>
        </w:rPr>
        <w:t>(</w:t>
      </w:r>
      <w:r w:rsidR="00633A0A" w:rsidRPr="00633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Journal of Index Investing Fall 2019, jii.2019.1.071</w:t>
      </w:r>
      <w:r w:rsidR="00633A0A" w:rsidRPr="00633A0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="00633A0A" w:rsidRPr="00633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DOI: https://doi.org/10.3905/jii.2019.1.071)</w:t>
      </w:r>
    </w:p>
    <w:p w:rsidR="00811CF5" w:rsidRPr="00811CF5" w:rsidRDefault="00811CF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Passive funds can promote sustainability actively</w:t>
      </w:r>
    </w:p>
    <w:p w:rsidR="00117DE6" w:rsidRDefault="00117DE6">
      <w:pPr>
        <w:rPr>
          <w:rFonts w:ascii="Times New Roman" w:hAnsi="Times New Roman" w:cs="Times New Roman"/>
          <w:sz w:val="24"/>
          <w:szCs w:val="24"/>
        </w:rPr>
      </w:pPr>
      <w:r w:rsidRPr="00D63AC4">
        <w:rPr>
          <w:rFonts w:ascii="Times New Roman" w:hAnsi="Times New Roman" w:cs="Times New Roman"/>
          <w:sz w:val="24"/>
          <w:szCs w:val="24"/>
        </w:rPr>
        <w:t xml:space="preserve">Two big forces have shaped the investment management industry in recent years. </w:t>
      </w:r>
      <w:r w:rsidR="008C00BB">
        <w:rPr>
          <w:rFonts w:ascii="Times New Roman" w:hAnsi="Times New Roman" w:cs="Times New Roman"/>
          <w:sz w:val="24"/>
          <w:szCs w:val="24"/>
        </w:rPr>
        <w:t>Many people wish their investment had a positive impact on society</w:t>
      </w:r>
      <w:r w:rsidR="007A1652">
        <w:rPr>
          <w:rFonts w:ascii="Times New Roman" w:hAnsi="Times New Roman" w:cs="Times New Roman"/>
          <w:sz w:val="24"/>
          <w:szCs w:val="24"/>
        </w:rPr>
        <w:t xml:space="preserve">, fueling a boom in sustainable investment. </w:t>
      </w:r>
      <w:r w:rsidR="009F4E83">
        <w:rPr>
          <w:rFonts w:ascii="Times New Roman" w:hAnsi="Times New Roman" w:cs="Times New Roman"/>
          <w:sz w:val="24"/>
          <w:szCs w:val="24"/>
        </w:rPr>
        <w:t>For example, sustainable investing topped $30tr in 2018.</w:t>
      </w:r>
      <w:r w:rsidR="009F4E8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F4E83">
        <w:rPr>
          <w:rFonts w:ascii="Times New Roman" w:hAnsi="Times New Roman" w:cs="Times New Roman"/>
          <w:sz w:val="24"/>
          <w:szCs w:val="24"/>
        </w:rPr>
        <w:t xml:space="preserve"> </w:t>
      </w:r>
      <w:r w:rsidR="008C00BB">
        <w:rPr>
          <w:rFonts w:ascii="Times New Roman" w:hAnsi="Times New Roman" w:cs="Times New Roman"/>
          <w:sz w:val="24"/>
          <w:szCs w:val="24"/>
        </w:rPr>
        <w:t xml:space="preserve">Many people also wish to avoid </w:t>
      </w:r>
      <w:r w:rsidR="00BF4379">
        <w:rPr>
          <w:rFonts w:ascii="Times New Roman" w:hAnsi="Times New Roman" w:cs="Times New Roman"/>
          <w:sz w:val="24"/>
          <w:szCs w:val="24"/>
        </w:rPr>
        <w:t xml:space="preserve">“active” managers’ </w:t>
      </w:r>
      <w:r w:rsidR="008C00BB">
        <w:rPr>
          <w:rFonts w:ascii="Times New Roman" w:hAnsi="Times New Roman" w:cs="Times New Roman"/>
          <w:sz w:val="24"/>
          <w:szCs w:val="24"/>
        </w:rPr>
        <w:t>heavy fees</w:t>
      </w:r>
      <w:r w:rsidR="007A1652">
        <w:rPr>
          <w:rFonts w:ascii="Times New Roman" w:hAnsi="Times New Roman" w:cs="Times New Roman"/>
          <w:sz w:val="24"/>
          <w:szCs w:val="24"/>
        </w:rPr>
        <w:t>, fueling a bo</w:t>
      </w:r>
      <w:r w:rsidR="00DC576D">
        <w:rPr>
          <w:rFonts w:ascii="Times New Roman" w:hAnsi="Times New Roman" w:cs="Times New Roman"/>
          <w:sz w:val="24"/>
          <w:szCs w:val="24"/>
        </w:rPr>
        <w:t>o</w:t>
      </w:r>
      <w:r w:rsidR="007A1652">
        <w:rPr>
          <w:rFonts w:ascii="Times New Roman" w:hAnsi="Times New Roman" w:cs="Times New Roman"/>
          <w:sz w:val="24"/>
          <w:szCs w:val="24"/>
        </w:rPr>
        <w:t xml:space="preserve">m in </w:t>
      </w:r>
      <w:r w:rsidR="00DC576D">
        <w:rPr>
          <w:rFonts w:ascii="Times New Roman" w:hAnsi="Times New Roman" w:cs="Times New Roman"/>
          <w:sz w:val="24"/>
          <w:szCs w:val="24"/>
        </w:rPr>
        <w:t xml:space="preserve">cheap “passive” </w:t>
      </w:r>
      <w:r w:rsidR="008139B3">
        <w:rPr>
          <w:rFonts w:ascii="Times New Roman" w:hAnsi="Times New Roman" w:cs="Times New Roman"/>
          <w:sz w:val="24"/>
          <w:szCs w:val="24"/>
        </w:rPr>
        <w:t xml:space="preserve">(index) </w:t>
      </w:r>
      <w:r w:rsidR="00DC576D">
        <w:rPr>
          <w:rFonts w:ascii="Times New Roman" w:hAnsi="Times New Roman" w:cs="Times New Roman"/>
          <w:sz w:val="24"/>
          <w:szCs w:val="24"/>
        </w:rPr>
        <w:t>funds</w:t>
      </w:r>
      <w:r w:rsidR="008C00BB">
        <w:rPr>
          <w:rFonts w:ascii="Times New Roman" w:hAnsi="Times New Roman" w:cs="Times New Roman"/>
          <w:sz w:val="24"/>
          <w:szCs w:val="24"/>
        </w:rPr>
        <w:t>.</w:t>
      </w:r>
      <w:r w:rsidR="009D0524">
        <w:rPr>
          <w:rFonts w:ascii="Times New Roman" w:hAnsi="Times New Roman" w:cs="Times New Roman"/>
          <w:sz w:val="24"/>
          <w:szCs w:val="24"/>
        </w:rPr>
        <w:t xml:space="preserve"> </w:t>
      </w:r>
      <w:r w:rsidR="009F4E83">
        <w:rPr>
          <w:rFonts w:ascii="Times New Roman" w:hAnsi="Times New Roman" w:cs="Times New Roman"/>
          <w:sz w:val="24"/>
          <w:szCs w:val="24"/>
        </w:rPr>
        <w:t>For example</w:t>
      </w:r>
      <w:r w:rsidR="009D0524">
        <w:rPr>
          <w:rFonts w:ascii="Times New Roman" w:hAnsi="Times New Roman" w:cs="Times New Roman"/>
          <w:sz w:val="24"/>
          <w:szCs w:val="24"/>
        </w:rPr>
        <w:t>, index funds owned 48% of US stocks last year.</w:t>
      </w:r>
      <w:r w:rsidR="009D0524" w:rsidRPr="009D0524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9D052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C00BB" w:rsidRPr="00D63AC4" w:rsidRDefault="0005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developments beg a question: how could investors mix both? That is, how could investors promote better environmental, social and governance outcomes while paying index managers’ low fees?</w:t>
      </w:r>
    </w:p>
    <w:p w:rsidR="00054C87" w:rsidRPr="00844FFC" w:rsidRDefault="00117DE6" w:rsidP="009D0524">
      <w:pPr>
        <w:rPr>
          <w:rFonts w:ascii="Times New Roman" w:hAnsi="Times New Roman" w:cs="Times New Roman"/>
          <w:sz w:val="24"/>
          <w:szCs w:val="24"/>
        </w:rPr>
      </w:pPr>
      <w:r w:rsidRPr="00D63AC4">
        <w:rPr>
          <w:rFonts w:ascii="Times New Roman" w:hAnsi="Times New Roman" w:cs="Times New Roman"/>
          <w:sz w:val="24"/>
          <w:szCs w:val="24"/>
        </w:rPr>
        <w:t xml:space="preserve">Such question may seem </w:t>
      </w:r>
      <w:r w:rsidR="008139B3">
        <w:rPr>
          <w:rFonts w:ascii="Times New Roman" w:hAnsi="Times New Roman" w:cs="Times New Roman"/>
          <w:sz w:val="24"/>
          <w:szCs w:val="24"/>
        </w:rPr>
        <w:t xml:space="preserve">as </w:t>
      </w:r>
      <w:r w:rsidRPr="00D63AC4">
        <w:rPr>
          <w:rFonts w:ascii="Times New Roman" w:hAnsi="Times New Roman" w:cs="Times New Roman"/>
          <w:sz w:val="24"/>
          <w:szCs w:val="24"/>
        </w:rPr>
        <w:t>paradoxical</w:t>
      </w:r>
      <w:r w:rsidR="009D0524">
        <w:rPr>
          <w:rFonts w:ascii="Times New Roman" w:hAnsi="Times New Roman" w:cs="Times New Roman"/>
          <w:sz w:val="24"/>
          <w:szCs w:val="24"/>
        </w:rPr>
        <w:t>. M</w:t>
      </w:r>
      <w:r w:rsidRPr="00D63AC4">
        <w:rPr>
          <w:rFonts w:ascii="Times New Roman" w:hAnsi="Times New Roman" w:cs="Times New Roman"/>
          <w:sz w:val="24"/>
          <w:szCs w:val="24"/>
        </w:rPr>
        <w:t xml:space="preserve">any refer to index investing as “passive” investing. </w:t>
      </w:r>
      <w:r w:rsidR="009D0524">
        <w:rPr>
          <w:rFonts w:ascii="Times New Roman" w:hAnsi="Times New Roman" w:cs="Times New Roman"/>
          <w:sz w:val="24"/>
          <w:szCs w:val="24"/>
        </w:rPr>
        <w:t>Yet, s</w:t>
      </w:r>
      <w:r w:rsidR="00054C87">
        <w:rPr>
          <w:rFonts w:ascii="Times New Roman" w:hAnsi="Times New Roman" w:cs="Times New Roman"/>
          <w:sz w:val="24"/>
          <w:szCs w:val="24"/>
        </w:rPr>
        <w:t xml:space="preserve">ustainable index investing </w:t>
      </w:r>
      <w:r w:rsidR="009D0524">
        <w:rPr>
          <w:rFonts w:ascii="Times New Roman" w:hAnsi="Times New Roman" w:cs="Times New Roman"/>
          <w:sz w:val="24"/>
          <w:szCs w:val="24"/>
        </w:rPr>
        <w:t xml:space="preserve">tries to </w:t>
      </w:r>
      <w:r w:rsidR="00054C87">
        <w:rPr>
          <w:rFonts w:ascii="Times New Roman" w:hAnsi="Times New Roman" w:cs="Times New Roman"/>
          <w:sz w:val="24"/>
          <w:szCs w:val="24"/>
        </w:rPr>
        <w:t xml:space="preserve">address this very </w:t>
      </w:r>
      <w:r w:rsidR="009D0524">
        <w:rPr>
          <w:rFonts w:ascii="Times New Roman" w:hAnsi="Times New Roman" w:cs="Times New Roman"/>
          <w:sz w:val="24"/>
          <w:szCs w:val="24"/>
        </w:rPr>
        <w:t>demand</w:t>
      </w:r>
      <w:r w:rsidR="00054C87">
        <w:rPr>
          <w:rFonts w:ascii="Times New Roman" w:hAnsi="Times New Roman" w:cs="Times New Roman"/>
          <w:sz w:val="24"/>
          <w:szCs w:val="24"/>
        </w:rPr>
        <w:t xml:space="preserve">. </w:t>
      </w:r>
      <w:r w:rsidR="009D0524">
        <w:rPr>
          <w:rFonts w:ascii="Times New Roman" w:hAnsi="Times New Roman" w:cs="Times New Roman"/>
          <w:sz w:val="24"/>
          <w:szCs w:val="24"/>
        </w:rPr>
        <w:t>So h</w:t>
      </w:r>
      <w:r w:rsidR="00054C87" w:rsidRPr="00844FFC">
        <w:rPr>
          <w:rFonts w:ascii="Times New Roman" w:hAnsi="Times New Roman" w:cs="Times New Roman"/>
          <w:sz w:val="24"/>
          <w:szCs w:val="24"/>
        </w:rPr>
        <w:t xml:space="preserve">ow well do </w:t>
      </w:r>
      <w:r w:rsidR="00054C87">
        <w:rPr>
          <w:rFonts w:ascii="Times New Roman" w:hAnsi="Times New Roman" w:cs="Times New Roman"/>
          <w:sz w:val="24"/>
          <w:szCs w:val="24"/>
        </w:rPr>
        <w:t xml:space="preserve">(supposedly passive) </w:t>
      </w:r>
      <w:r w:rsidR="00054C87" w:rsidRPr="00844FFC">
        <w:rPr>
          <w:rFonts w:ascii="Times New Roman" w:hAnsi="Times New Roman" w:cs="Times New Roman"/>
          <w:sz w:val="24"/>
          <w:szCs w:val="24"/>
        </w:rPr>
        <w:t>index funds promote better ESG corporate practices? And, relatedly, how shall investor</w:t>
      </w:r>
      <w:r w:rsidR="00054C87">
        <w:rPr>
          <w:rFonts w:ascii="Times New Roman" w:hAnsi="Times New Roman" w:cs="Times New Roman"/>
          <w:sz w:val="24"/>
          <w:szCs w:val="24"/>
        </w:rPr>
        <w:t>s</w:t>
      </w:r>
      <w:r w:rsidR="00054C87" w:rsidRPr="00844FFC">
        <w:rPr>
          <w:rFonts w:ascii="Times New Roman" w:hAnsi="Times New Roman" w:cs="Times New Roman"/>
          <w:sz w:val="24"/>
          <w:szCs w:val="24"/>
        </w:rPr>
        <w:t xml:space="preserve"> select </w:t>
      </w:r>
      <w:r w:rsidR="00054C87">
        <w:rPr>
          <w:rFonts w:ascii="Times New Roman" w:hAnsi="Times New Roman" w:cs="Times New Roman"/>
          <w:sz w:val="24"/>
          <w:szCs w:val="24"/>
        </w:rPr>
        <w:t>sustainable</w:t>
      </w:r>
      <w:r w:rsidR="00054C87" w:rsidRPr="00844FFC">
        <w:rPr>
          <w:rFonts w:ascii="Times New Roman" w:hAnsi="Times New Roman" w:cs="Times New Roman"/>
          <w:sz w:val="24"/>
          <w:szCs w:val="24"/>
        </w:rPr>
        <w:t xml:space="preserve"> index fund</w:t>
      </w:r>
      <w:r w:rsidR="00054C87">
        <w:rPr>
          <w:rFonts w:ascii="Times New Roman" w:hAnsi="Times New Roman" w:cs="Times New Roman"/>
          <w:sz w:val="24"/>
          <w:szCs w:val="24"/>
        </w:rPr>
        <w:t>s</w:t>
      </w:r>
      <w:r w:rsidR="00054C87" w:rsidRPr="00844FFC">
        <w:rPr>
          <w:rFonts w:ascii="Times New Roman" w:hAnsi="Times New Roman" w:cs="Times New Roman"/>
          <w:sz w:val="24"/>
          <w:szCs w:val="24"/>
        </w:rPr>
        <w:t>?</w:t>
      </w:r>
    </w:p>
    <w:p w:rsidR="008139B3" w:rsidRDefault="009C6274">
      <w:pPr>
        <w:rPr>
          <w:rFonts w:ascii="Times New Roman" w:hAnsi="Times New Roman" w:cs="Times New Roman"/>
          <w:sz w:val="24"/>
          <w:szCs w:val="24"/>
        </w:rPr>
      </w:pPr>
      <w:r w:rsidRPr="00D63AC4">
        <w:rPr>
          <w:rFonts w:ascii="Times New Roman" w:hAnsi="Times New Roman" w:cs="Times New Roman"/>
          <w:sz w:val="24"/>
          <w:szCs w:val="24"/>
        </w:rPr>
        <w:t xml:space="preserve">Investors, index or not, can </w:t>
      </w:r>
      <w:r w:rsidR="00130BFC" w:rsidRPr="00D63AC4">
        <w:rPr>
          <w:rFonts w:ascii="Times New Roman" w:hAnsi="Times New Roman" w:cs="Times New Roman"/>
          <w:sz w:val="24"/>
          <w:szCs w:val="24"/>
        </w:rPr>
        <w:t xml:space="preserve">foster better ESG corporate practices </w:t>
      </w:r>
      <w:r w:rsidRPr="00D63AC4">
        <w:rPr>
          <w:rFonts w:ascii="Times New Roman" w:hAnsi="Times New Roman" w:cs="Times New Roman"/>
          <w:sz w:val="24"/>
          <w:szCs w:val="24"/>
        </w:rPr>
        <w:t xml:space="preserve">in two ways. First, by investing in firms with better ESG practices. Doing so rewards “good behavior” and funds a more sustainable economy. </w:t>
      </w:r>
      <w:r w:rsidR="008139B3" w:rsidRPr="00D63AC4">
        <w:rPr>
          <w:rFonts w:ascii="Times New Roman" w:hAnsi="Times New Roman" w:cs="Times New Roman"/>
          <w:sz w:val="24"/>
          <w:szCs w:val="24"/>
        </w:rPr>
        <w:t>For example, firms with good ESG performance have also been able to borrow 7 to 18 bps cheaper than firms with social responsibility concerns</w:t>
      </w:r>
      <w:r w:rsidR="008139B3" w:rsidRPr="00D63AC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139B3" w:rsidRPr="00D63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35B" w:rsidRPr="00D63AC4" w:rsidRDefault="009C6274" w:rsidP="008139B3">
      <w:pPr>
        <w:rPr>
          <w:rFonts w:ascii="Times New Roman" w:hAnsi="Times New Roman" w:cs="Times New Roman"/>
          <w:sz w:val="24"/>
          <w:szCs w:val="24"/>
        </w:rPr>
      </w:pPr>
      <w:r w:rsidRPr="00D63AC4">
        <w:rPr>
          <w:rFonts w:ascii="Times New Roman" w:hAnsi="Times New Roman" w:cs="Times New Roman"/>
          <w:sz w:val="24"/>
          <w:szCs w:val="24"/>
        </w:rPr>
        <w:t xml:space="preserve">Second, by engaging these firms and voting at their general assembly. Doing so promotes change. </w:t>
      </w:r>
      <w:r w:rsidR="008139B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504EDC" w:rsidRPr="00D63AC4">
        <w:rPr>
          <w:rFonts w:ascii="Times New Roman" w:hAnsi="Times New Roman" w:cs="Times New Roman"/>
          <w:sz w:val="24"/>
          <w:szCs w:val="24"/>
        </w:rPr>
        <w:t>Duke</w:t>
      </w:r>
      <w:r w:rsidR="00053C50" w:rsidRPr="00D63AC4">
        <w:rPr>
          <w:rFonts w:ascii="Times New Roman" w:hAnsi="Times New Roman" w:cs="Times New Roman"/>
          <w:sz w:val="24"/>
          <w:szCs w:val="24"/>
        </w:rPr>
        <w:t xml:space="preserve"> and </w:t>
      </w:r>
      <w:r w:rsidR="00504EDC" w:rsidRPr="00D63AC4">
        <w:rPr>
          <w:rFonts w:ascii="Times New Roman" w:hAnsi="Times New Roman" w:cs="Times New Roman"/>
          <w:sz w:val="24"/>
          <w:szCs w:val="24"/>
        </w:rPr>
        <w:t>Stern scholars find that shareholders’ “vote no” campaigns reduce CEO compensation.</w:t>
      </w:r>
      <w:r w:rsidR="00504EDC" w:rsidRPr="00D63AC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117DE6" w:rsidRPr="00D63AC4" w:rsidRDefault="00053C50">
      <w:pPr>
        <w:rPr>
          <w:rFonts w:ascii="Times New Roman" w:hAnsi="Times New Roman" w:cs="Times New Roman"/>
          <w:sz w:val="24"/>
          <w:szCs w:val="24"/>
        </w:rPr>
      </w:pPr>
      <w:r w:rsidRPr="00D63AC4">
        <w:rPr>
          <w:rFonts w:ascii="Times New Roman" w:hAnsi="Times New Roman" w:cs="Times New Roman"/>
          <w:sz w:val="24"/>
          <w:szCs w:val="24"/>
        </w:rPr>
        <w:t>Interestingly, promoting better ESG practices yields long-term financial benefits, too.</w:t>
      </w:r>
      <w:r w:rsidR="00E117E3" w:rsidRPr="00D63AC4">
        <w:rPr>
          <w:rFonts w:ascii="Times New Roman" w:hAnsi="Times New Roman" w:cs="Times New Roman"/>
          <w:sz w:val="24"/>
          <w:szCs w:val="24"/>
        </w:rPr>
        <w:t xml:space="preserve"> </w:t>
      </w:r>
      <w:r w:rsidR="00C868EA" w:rsidRPr="00D63AC4">
        <w:rPr>
          <w:rFonts w:ascii="Times New Roman" w:hAnsi="Times New Roman" w:cs="Times New Roman"/>
          <w:sz w:val="24"/>
          <w:szCs w:val="24"/>
        </w:rPr>
        <w:t>For example, s</w:t>
      </w:r>
      <w:r w:rsidR="00E117E3" w:rsidRPr="00D63AC4">
        <w:rPr>
          <w:rFonts w:ascii="Times New Roman" w:hAnsi="Times New Roman" w:cs="Times New Roman"/>
          <w:sz w:val="24"/>
          <w:szCs w:val="24"/>
        </w:rPr>
        <w:t xml:space="preserve">uccessful votes on corporate social responsibility adds </w:t>
      </w:r>
      <w:r w:rsidR="00C868EA" w:rsidRPr="00D63AC4">
        <w:rPr>
          <w:rFonts w:ascii="Times New Roman" w:hAnsi="Times New Roman" w:cs="Times New Roman"/>
          <w:sz w:val="24"/>
          <w:szCs w:val="24"/>
        </w:rPr>
        <w:t xml:space="preserve">nearly </w:t>
      </w:r>
      <w:r w:rsidR="00E117E3" w:rsidRPr="00D63AC4">
        <w:rPr>
          <w:rFonts w:ascii="Times New Roman" w:hAnsi="Times New Roman" w:cs="Times New Roman"/>
          <w:sz w:val="24"/>
          <w:szCs w:val="24"/>
        </w:rPr>
        <w:t>3% to shareholder value</w:t>
      </w:r>
      <w:r w:rsidR="00C868EA" w:rsidRPr="00D63AC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E117E3" w:rsidRPr="00D63AC4">
        <w:rPr>
          <w:rFonts w:ascii="Times New Roman" w:hAnsi="Times New Roman" w:cs="Times New Roman"/>
          <w:sz w:val="24"/>
          <w:szCs w:val="24"/>
        </w:rPr>
        <w:t xml:space="preserve">. London Business School scholar </w:t>
      </w:r>
      <w:r w:rsidR="003A596D" w:rsidRPr="00D63AC4">
        <w:rPr>
          <w:rFonts w:ascii="Times New Roman" w:hAnsi="Times New Roman" w:cs="Times New Roman"/>
          <w:sz w:val="24"/>
          <w:szCs w:val="24"/>
        </w:rPr>
        <w:t xml:space="preserve">Elroy Dimson </w:t>
      </w:r>
      <w:r w:rsidR="009F4E83">
        <w:rPr>
          <w:rFonts w:ascii="Times New Roman" w:hAnsi="Times New Roman" w:cs="Times New Roman"/>
          <w:sz w:val="24"/>
          <w:szCs w:val="24"/>
        </w:rPr>
        <w:t xml:space="preserve">and co-authors </w:t>
      </w:r>
      <w:r w:rsidR="00E117E3" w:rsidRPr="00D63AC4">
        <w:rPr>
          <w:rFonts w:ascii="Times New Roman" w:hAnsi="Times New Roman" w:cs="Times New Roman"/>
          <w:sz w:val="24"/>
          <w:szCs w:val="24"/>
        </w:rPr>
        <w:t xml:space="preserve">also find </w:t>
      </w:r>
      <w:r w:rsidR="00C868EA" w:rsidRPr="00D63AC4">
        <w:rPr>
          <w:rFonts w:ascii="Times New Roman" w:hAnsi="Times New Roman" w:cs="Times New Roman"/>
          <w:sz w:val="24"/>
          <w:szCs w:val="24"/>
        </w:rPr>
        <w:t>that ESG</w:t>
      </w:r>
      <w:r w:rsidR="006E60D0">
        <w:rPr>
          <w:rFonts w:ascii="Times New Roman" w:hAnsi="Times New Roman" w:cs="Times New Roman"/>
          <w:sz w:val="24"/>
          <w:szCs w:val="24"/>
        </w:rPr>
        <w:t xml:space="preserve"> </w:t>
      </w:r>
      <w:r w:rsidR="00C868EA" w:rsidRPr="00D63AC4">
        <w:rPr>
          <w:rFonts w:ascii="Times New Roman" w:hAnsi="Times New Roman" w:cs="Times New Roman"/>
          <w:sz w:val="24"/>
          <w:szCs w:val="24"/>
        </w:rPr>
        <w:t>engagement at US firms adds 2.3% to returns the year following initial engagement.</w:t>
      </w:r>
      <w:r w:rsidR="00A97D72" w:rsidRPr="00D63AC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C868EA" w:rsidRPr="00D63AC4">
        <w:rPr>
          <w:rFonts w:ascii="Times New Roman" w:hAnsi="Times New Roman" w:cs="Times New Roman"/>
          <w:sz w:val="24"/>
          <w:szCs w:val="24"/>
        </w:rPr>
        <w:t xml:space="preserve">  </w:t>
      </w:r>
      <w:r w:rsidR="0003033B" w:rsidRPr="00D63AC4">
        <w:rPr>
          <w:rFonts w:ascii="Times New Roman" w:hAnsi="Times New Roman" w:cs="Times New Roman"/>
          <w:sz w:val="24"/>
          <w:szCs w:val="24"/>
        </w:rPr>
        <w:t xml:space="preserve">Crucially, index managers have the same voting rights and engagement opportunities as active ones. </w:t>
      </w:r>
    </w:p>
    <w:p w:rsidR="0003033B" w:rsidRPr="00D63AC4" w:rsidRDefault="0003033B">
      <w:pPr>
        <w:rPr>
          <w:rFonts w:ascii="Times New Roman" w:hAnsi="Times New Roman" w:cs="Times New Roman"/>
          <w:sz w:val="24"/>
          <w:szCs w:val="24"/>
        </w:rPr>
      </w:pPr>
      <w:r w:rsidRPr="00D63AC4">
        <w:rPr>
          <w:rFonts w:ascii="Times New Roman" w:hAnsi="Times New Roman" w:cs="Times New Roman"/>
          <w:sz w:val="24"/>
          <w:szCs w:val="24"/>
        </w:rPr>
        <w:t>How can investors promote ESG using index managers, then?</w:t>
      </w:r>
    </w:p>
    <w:p w:rsidR="0003033B" w:rsidRPr="00D63AC4" w:rsidRDefault="0003033B" w:rsidP="0003033B">
      <w:pPr>
        <w:rPr>
          <w:rFonts w:ascii="Times New Roman" w:hAnsi="Times New Roman" w:cs="Times New Roman"/>
          <w:sz w:val="24"/>
          <w:szCs w:val="24"/>
        </w:rPr>
      </w:pPr>
      <w:r w:rsidRPr="0081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 few good funds, a lot of greenwashing</w:t>
      </w:r>
    </w:p>
    <w:p w:rsidR="00D63AC4" w:rsidRDefault="0003033B" w:rsidP="0003033B">
      <w:pPr>
        <w:rPr>
          <w:rFonts w:ascii="Times New Roman" w:hAnsi="Times New Roman" w:cs="Times New Roman"/>
          <w:sz w:val="24"/>
          <w:szCs w:val="24"/>
        </w:rPr>
      </w:pPr>
      <w:r w:rsidRPr="00D63AC4">
        <w:rPr>
          <w:rFonts w:ascii="Times New Roman" w:hAnsi="Times New Roman" w:cs="Times New Roman"/>
          <w:sz w:val="24"/>
          <w:szCs w:val="24"/>
        </w:rPr>
        <w:t xml:space="preserve">The good news is that sustainable index investing is booming, with over 400 funds available. The less good news is that </w:t>
      </w:r>
      <w:r w:rsidR="00DB7D94">
        <w:rPr>
          <w:rFonts w:ascii="Times New Roman" w:hAnsi="Times New Roman" w:cs="Times New Roman"/>
          <w:sz w:val="24"/>
          <w:szCs w:val="24"/>
        </w:rPr>
        <w:t>few</w:t>
      </w:r>
      <w:r w:rsidR="00D63AC4" w:rsidRPr="00D63AC4">
        <w:rPr>
          <w:rFonts w:ascii="Times New Roman" w:hAnsi="Times New Roman" w:cs="Times New Roman"/>
          <w:sz w:val="24"/>
          <w:szCs w:val="24"/>
        </w:rPr>
        <w:t xml:space="preserve"> funds promote</w:t>
      </w:r>
      <w:r w:rsidR="005B0094" w:rsidRPr="00D63AC4">
        <w:rPr>
          <w:rFonts w:ascii="Times New Roman" w:hAnsi="Times New Roman" w:cs="Times New Roman"/>
          <w:sz w:val="24"/>
          <w:szCs w:val="24"/>
        </w:rPr>
        <w:t xml:space="preserve"> ESG </w:t>
      </w:r>
      <w:r w:rsidR="00DB7D94">
        <w:rPr>
          <w:rFonts w:ascii="Times New Roman" w:hAnsi="Times New Roman" w:cs="Times New Roman"/>
          <w:sz w:val="24"/>
          <w:szCs w:val="24"/>
        </w:rPr>
        <w:t>well</w:t>
      </w:r>
      <w:r w:rsidR="005B0094" w:rsidRPr="00D63AC4">
        <w:rPr>
          <w:rFonts w:ascii="Times New Roman" w:hAnsi="Times New Roman" w:cs="Times New Roman"/>
          <w:sz w:val="24"/>
          <w:szCs w:val="24"/>
        </w:rPr>
        <w:t>.</w:t>
      </w:r>
      <w:r w:rsidR="00D6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65" w:rsidRDefault="009F4E83" w:rsidP="0003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3AC4">
        <w:rPr>
          <w:rFonts w:ascii="Times New Roman" w:hAnsi="Times New Roman" w:cs="Times New Roman"/>
          <w:sz w:val="24"/>
          <w:szCs w:val="24"/>
        </w:rPr>
        <w:t xml:space="preserve">he first lever to promote sustainability is investing in companies with better sustainable practices on average. Yet, </w:t>
      </w:r>
      <w:r w:rsidR="00D63AC4" w:rsidRPr="00D63AC4">
        <w:rPr>
          <w:rFonts w:ascii="Times New Roman" w:hAnsi="Times New Roman" w:cs="Times New Roman"/>
          <w:sz w:val="24"/>
          <w:szCs w:val="24"/>
        </w:rPr>
        <w:t xml:space="preserve">37% of sustainable index funds have a </w:t>
      </w:r>
      <w:r w:rsidR="00D63AC4" w:rsidRPr="00D63AC4">
        <w:rPr>
          <w:rFonts w:ascii="Times New Roman" w:hAnsi="Times New Roman" w:cs="Times New Roman"/>
          <w:i/>
          <w:iCs/>
          <w:sz w:val="24"/>
          <w:szCs w:val="24"/>
        </w:rPr>
        <w:t>lower</w:t>
      </w:r>
      <w:r w:rsidR="00D63AC4" w:rsidRPr="00D63AC4">
        <w:rPr>
          <w:rFonts w:ascii="Times New Roman" w:hAnsi="Times New Roman" w:cs="Times New Roman"/>
          <w:sz w:val="24"/>
          <w:szCs w:val="24"/>
        </w:rPr>
        <w:t xml:space="preserve"> ESG score than their non-ESG benchmark. Only</w:t>
      </w:r>
      <w:r w:rsidR="00D63AC4">
        <w:rPr>
          <w:rFonts w:ascii="Times New Roman" w:hAnsi="Times New Roman" w:cs="Times New Roman"/>
          <w:sz w:val="24"/>
          <w:szCs w:val="24"/>
        </w:rPr>
        <w:t xml:space="preserve"> 9% of sustainable index funds have an ESG score at least 10% higher (t</w:t>
      </w:r>
      <w:r w:rsidR="00D63AC4" w:rsidRPr="00D63AC4">
        <w:rPr>
          <w:rFonts w:ascii="Times New Roman" w:hAnsi="Times New Roman" w:cs="Times New Roman"/>
          <w:sz w:val="24"/>
          <w:szCs w:val="24"/>
        </w:rPr>
        <w:t>o put figures in perspective, US large caps have ESG scores 64% higher than US small caps’ on average</w:t>
      </w:r>
      <w:r w:rsidR="00D63AC4">
        <w:rPr>
          <w:rFonts w:ascii="Times New Roman" w:hAnsi="Times New Roman" w:cs="Times New Roman"/>
          <w:sz w:val="24"/>
          <w:szCs w:val="24"/>
        </w:rPr>
        <w:t>).</w:t>
      </w:r>
    </w:p>
    <w:p w:rsidR="00D63AC4" w:rsidRDefault="00C44622" w:rsidP="0003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managers’ engagement and voting varies a lot, too. A</w:t>
      </w:r>
      <w:r w:rsidRPr="00C44622">
        <w:rPr>
          <w:rFonts w:ascii="Times New Roman" w:hAnsi="Times New Roman" w:cs="Times New Roman"/>
          <w:sz w:val="24"/>
          <w:szCs w:val="24"/>
        </w:rPr>
        <w:t xml:space="preserve"> striking example is using derivatives. Derivates do not hold voting rights. Yet, 16% of sustainable index funds still use derivatives–foregoing a key lever to promote ESG.  Managers </w:t>
      </w:r>
      <w:r w:rsidR="003717CE">
        <w:rPr>
          <w:rFonts w:ascii="Times New Roman" w:hAnsi="Times New Roman" w:cs="Times New Roman"/>
          <w:sz w:val="24"/>
          <w:szCs w:val="24"/>
        </w:rPr>
        <w:t>differ</w:t>
      </w:r>
      <w:r w:rsidRPr="00C44622">
        <w:rPr>
          <w:rFonts w:ascii="Times New Roman" w:hAnsi="Times New Roman" w:cs="Times New Roman"/>
          <w:sz w:val="24"/>
          <w:szCs w:val="24"/>
        </w:rPr>
        <w:t xml:space="preserve">, however. For example, over 60% of </w:t>
      </w:r>
      <w:proofErr w:type="spellStart"/>
      <w:r w:rsidRPr="00C44622">
        <w:rPr>
          <w:rFonts w:ascii="Times New Roman" w:hAnsi="Times New Roman" w:cs="Times New Roman"/>
          <w:sz w:val="24"/>
          <w:szCs w:val="24"/>
        </w:rPr>
        <w:t>Amundi</w:t>
      </w:r>
      <w:proofErr w:type="spellEnd"/>
      <w:r w:rsidRPr="00C446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4622">
        <w:rPr>
          <w:rFonts w:ascii="Times New Roman" w:hAnsi="Times New Roman" w:cs="Times New Roman"/>
          <w:sz w:val="24"/>
          <w:szCs w:val="24"/>
        </w:rPr>
        <w:t>Lyxor</w:t>
      </w:r>
      <w:proofErr w:type="spellEnd"/>
      <w:r w:rsidRPr="00C44622">
        <w:rPr>
          <w:rFonts w:ascii="Times New Roman" w:hAnsi="Times New Roman" w:cs="Times New Roman"/>
          <w:sz w:val="24"/>
          <w:szCs w:val="24"/>
        </w:rPr>
        <w:t xml:space="preserve"> sustainable index funds use derivatives. </w:t>
      </w:r>
      <w:r>
        <w:rPr>
          <w:rFonts w:ascii="Times New Roman" w:hAnsi="Times New Roman" w:cs="Times New Roman"/>
          <w:sz w:val="24"/>
          <w:szCs w:val="24"/>
        </w:rPr>
        <w:t>By contrast, no BlackRock or UBS sustainable index funds use them. Yet, keeping voting rights does not mean using them to promote sustainability. For example, BlackRock supported only 23% of climate change proposals last year, when Legal and General supported 85%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.</w:t>
      </w:r>
      <w:r w:rsidR="0053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B11">
        <w:rPr>
          <w:rFonts w:ascii="Times New Roman" w:hAnsi="Times New Roman" w:cs="Times New Roman"/>
          <w:sz w:val="24"/>
          <w:szCs w:val="24"/>
        </w:rPr>
        <w:t>Amundi</w:t>
      </w:r>
      <w:proofErr w:type="spellEnd"/>
      <w:r w:rsidR="00537B11">
        <w:rPr>
          <w:rFonts w:ascii="Times New Roman" w:hAnsi="Times New Roman" w:cs="Times New Roman"/>
          <w:sz w:val="24"/>
          <w:szCs w:val="24"/>
        </w:rPr>
        <w:t xml:space="preserve"> </w:t>
      </w:r>
      <w:r w:rsidR="006734F5">
        <w:rPr>
          <w:rFonts w:ascii="Times New Roman" w:hAnsi="Times New Roman" w:cs="Times New Roman"/>
          <w:sz w:val="24"/>
          <w:szCs w:val="24"/>
        </w:rPr>
        <w:t xml:space="preserve">did </w:t>
      </w:r>
      <w:r w:rsidR="00537B11">
        <w:rPr>
          <w:rFonts w:ascii="Times New Roman" w:hAnsi="Times New Roman" w:cs="Times New Roman"/>
          <w:sz w:val="24"/>
          <w:szCs w:val="24"/>
        </w:rPr>
        <w:t>not support a single climate change resolution.</w:t>
      </w:r>
    </w:p>
    <w:p w:rsidR="00AC3764" w:rsidRPr="00811CF5" w:rsidRDefault="00AC3764" w:rsidP="000303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1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Managing ESG biases</w:t>
      </w:r>
    </w:p>
    <w:p w:rsidR="00AC3764" w:rsidRDefault="00310B13" w:rsidP="00AC376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646D4">
        <w:rPr>
          <w:rFonts w:ascii="Times New Roman" w:hAnsi="Times New Roman" w:cs="Times New Roman"/>
          <w:sz w:val="24"/>
          <w:szCs w:val="24"/>
        </w:rPr>
        <w:t xml:space="preserve">A “passive” </w:t>
      </w:r>
      <w:r>
        <w:rPr>
          <w:rFonts w:ascii="Times New Roman" w:hAnsi="Times New Roman" w:cs="Times New Roman"/>
          <w:sz w:val="24"/>
          <w:szCs w:val="24"/>
        </w:rPr>
        <w:t>sustainable</w:t>
      </w:r>
      <w:r w:rsidRPr="00B646D4">
        <w:rPr>
          <w:rFonts w:ascii="Times New Roman" w:hAnsi="Times New Roman" w:cs="Times New Roman"/>
          <w:sz w:val="24"/>
          <w:szCs w:val="24"/>
        </w:rPr>
        <w:t xml:space="preserve"> investor faces another </w:t>
      </w:r>
      <w:r w:rsidR="009F4E83">
        <w:rPr>
          <w:rFonts w:ascii="Times New Roman" w:hAnsi="Times New Roman" w:cs="Times New Roman"/>
          <w:sz w:val="24"/>
          <w:szCs w:val="24"/>
        </w:rPr>
        <w:t>challenge</w:t>
      </w:r>
      <w:r w:rsidR="00AC3764">
        <w:rPr>
          <w:rFonts w:ascii="Times New Roman" w:hAnsi="Times New Roman" w:cs="Times New Roman"/>
          <w:sz w:val="24"/>
          <w:szCs w:val="24"/>
        </w:rPr>
        <w:t>, though</w:t>
      </w:r>
      <w:r w:rsidRPr="00B646D4">
        <w:rPr>
          <w:rFonts w:ascii="Times New Roman" w:hAnsi="Times New Roman" w:cs="Times New Roman"/>
          <w:sz w:val="24"/>
          <w:szCs w:val="24"/>
        </w:rPr>
        <w:t xml:space="preserve">. Namely, </w:t>
      </w:r>
      <w:r>
        <w:rPr>
          <w:rFonts w:ascii="Times New Roman" w:hAnsi="Times New Roman" w:cs="Times New Roman"/>
          <w:sz w:val="24"/>
          <w:szCs w:val="24"/>
        </w:rPr>
        <w:t>ESG</w:t>
      </w:r>
      <w:r w:rsidRPr="00B646D4">
        <w:rPr>
          <w:rFonts w:ascii="Times New Roman" w:hAnsi="Times New Roman" w:cs="Times New Roman"/>
          <w:sz w:val="24"/>
          <w:szCs w:val="24"/>
        </w:rPr>
        <w:t xml:space="preserve"> strateg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B646D4">
        <w:rPr>
          <w:rFonts w:ascii="Times New Roman" w:hAnsi="Times New Roman" w:cs="Times New Roman"/>
          <w:sz w:val="24"/>
          <w:szCs w:val="24"/>
        </w:rPr>
        <w:t xml:space="preserve"> (passive or not) tend to create investment biases. For example, larger companies tend to have higher ESG ratings. </w:t>
      </w:r>
      <w:r w:rsidR="00AC3764" w:rsidRPr="00B646D4">
        <w:rPr>
          <w:rFonts w:ascii="Times New Roman" w:hAnsi="Times New Roman" w:cs="Times New Roman"/>
          <w:sz w:val="24"/>
          <w:szCs w:val="24"/>
        </w:rPr>
        <w:t>ESG can introduce country or sector biases</w:t>
      </w:r>
      <w:r w:rsidR="003F71D4">
        <w:rPr>
          <w:rFonts w:ascii="Times New Roman" w:hAnsi="Times New Roman" w:cs="Times New Roman"/>
          <w:sz w:val="24"/>
          <w:szCs w:val="24"/>
        </w:rPr>
        <w:t>, too</w:t>
      </w:r>
      <w:r w:rsidR="00AC3764" w:rsidRPr="00B64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764" w:rsidRDefault="00AC3764" w:rsidP="00AC376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646D4">
        <w:rPr>
          <w:rFonts w:ascii="Times New Roman" w:hAnsi="Times New Roman" w:cs="Times New Roman"/>
          <w:sz w:val="24"/>
          <w:szCs w:val="24"/>
        </w:rPr>
        <w:t xml:space="preserve">Biases are not necessarily negative. Yet, investors should be aware of them. That way, investors can decide whether they are comfortable with them. </w:t>
      </w:r>
    </w:p>
    <w:p w:rsidR="00811CF5" w:rsidRDefault="00811CF5" w:rsidP="00AC3764">
      <w:pPr>
        <w:rPr>
          <w:rFonts w:ascii="Times New Roman" w:hAnsi="Times New Roman" w:cs="Times New Roman"/>
          <w:sz w:val="24"/>
        </w:rPr>
      </w:pPr>
    </w:p>
    <w:p w:rsidR="00811CF5" w:rsidRPr="00811CF5" w:rsidRDefault="00811CF5" w:rsidP="00AC3764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811CF5">
        <w:rPr>
          <w:rFonts w:ascii="Times New Roman" w:hAnsi="Times New Roman" w:cs="Times New Roman"/>
          <w:b/>
          <w:bCs/>
          <w:i/>
          <w:iCs/>
          <w:sz w:val="24"/>
        </w:rPr>
        <w:t>A bright future ahead</w:t>
      </w:r>
    </w:p>
    <w:p w:rsidR="00382E55" w:rsidRDefault="00811CF5" w:rsidP="00AC37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Overall, and c</w:t>
      </w:r>
      <w:r w:rsidR="00AC3764" w:rsidRPr="009D0524">
        <w:rPr>
          <w:rFonts w:ascii="Times New Roman" w:hAnsi="Times New Roman" w:cs="Times New Roman"/>
          <w:sz w:val="24"/>
        </w:rPr>
        <w:t>ontrary to popular belief, “passive” investing can promote sustainability</w:t>
      </w:r>
      <w:r w:rsidR="009D0524" w:rsidRPr="009D0524">
        <w:rPr>
          <w:rFonts w:ascii="Times New Roman" w:hAnsi="Times New Roman" w:cs="Times New Roman"/>
          <w:sz w:val="24"/>
        </w:rPr>
        <w:t xml:space="preserve"> efficiently</w:t>
      </w:r>
      <w:r w:rsidR="00AC3764" w:rsidRPr="009D0524">
        <w:rPr>
          <w:rFonts w:ascii="Times New Roman" w:hAnsi="Times New Roman" w:cs="Times New Roman"/>
          <w:sz w:val="24"/>
        </w:rPr>
        <w:t>. Investing with s</w:t>
      </w:r>
      <w:r w:rsidR="00AC3764" w:rsidRPr="009D0524">
        <w:rPr>
          <w:rFonts w:ascii="Times New Roman" w:hAnsi="Times New Roman" w:cs="Times New Roman"/>
          <w:sz w:val="24"/>
          <w:szCs w:val="24"/>
        </w:rPr>
        <w:t>ustainable</w:t>
      </w:r>
      <w:r w:rsidR="00AC3764" w:rsidRPr="009D0524">
        <w:rPr>
          <w:rFonts w:ascii="Times New Roman" w:hAnsi="Times New Roman" w:cs="Times New Roman"/>
          <w:sz w:val="24"/>
        </w:rPr>
        <w:t xml:space="preserve"> index funds requires analyzing funds across new dimensions, though. An investor should assess how well an index fund promotes sustainability. Moreover, s/he should check potential biases associated with an ESG strategy. Yet, the fact that investors can increasingly promote </w:t>
      </w:r>
      <w:r w:rsidR="00286EE0" w:rsidRPr="009D0524">
        <w:rPr>
          <w:rFonts w:ascii="Times New Roman" w:hAnsi="Times New Roman" w:cs="Times New Roman"/>
          <w:sz w:val="24"/>
        </w:rPr>
        <w:t>ESG</w:t>
      </w:r>
      <w:r w:rsidR="00AC3764" w:rsidRPr="009D0524">
        <w:rPr>
          <w:rFonts w:ascii="Times New Roman" w:hAnsi="Times New Roman" w:cs="Times New Roman"/>
          <w:sz w:val="24"/>
        </w:rPr>
        <w:t xml:space="preserve"> at a low cost </w:t>
      </w:r>
      <w:r w:rsidR="00286EE0" w:rsidRPr="009D0524">
        <w:rPr>
          <w:rFonts w:ascii="Times New Roman" w:hAnsi="Times New Roman" w:cs="Times New Roman"/>
          <w:sz w:val="24"/>
        </w:rPr>
        <w:t>should give a new impetus to the sustainability revolution.</w:t>
      </w:r>
    </w:p>
    <w:p w:rsidR="00382E55" w:rsidRPr="00382E55" w:rsidRDefault="00382E55" w:rsidP="00AC3764">
      <w:pPr>
        <w:rPr>
          <w:rFonts w:ascii="Times New Roman" w:hAnsi="Times New Roman" w:cs="Times New Roman"/>
          <w:sz w:val="24"/>
          <w:szCs w:val="24"/>
        </w:rPr>
      </w:pPr>
    </w:p>
    <w:p w:rsidR="00382E55" w:rsidRPr="00382E55" w:rsidRDefault="00382E55" w:rsidP="00AC37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2E55">
        <w:rPr>
          <w:rFonts w:ascii="Times New Roman" w:hAnsi="Times New Roman" w:cs="Times New Roman"/>
          <w:sz w:val="24"/>
          <w:szCs w:val="24"/>
        </w:rPr>
        <w:t>For a more detailed look at this subject matter please see the original article “</w:t>
      </w:r>
      <w:r w:rsidRPr="00382E55">
        <w:rPr>
          <w:rFonts w:ascii="Times New Roman" w:hAnsi="Times New Roman" w:cs="Times New Roman"/>
          <w:i/>
          <w:iCs/>
          <w:sz w:val="24"/>
          <w:szCs w:val="24"/>
        </w:rPr>
        <w:t>Promoting Sustainability Using Passive Funds</w:t>
      </w:r>
      <w:r w:rsidRPr="00382E55">
        <w:rPr>
          <w:rFonts w:ascii="Times New Roman" w:hAnsi="Times New Roman" w:cs="Times New Roman"/>
          <w:sz w:val="24"/>
          <w:szCs w:val="24"/>
        </w:rPr>
        <w:t xml:space="preserve">” (The Journal of Index Investing Fall 2019, jii.2019.1.071; DOI: </w:t>
      </w:r>
      <w:hyperlink r:id="rId8" w:history="1">
        <w:r w:rsidRPr="00382E5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https://doi.org/10.3905/jii.2019.1.071</w:t>
        </w:r>
      </w:hyperlink>
      <w:r w:rsidRPr="00382E55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AC3764" w:rsidRPr="00487CB4" w:rsidRDefault="00286EE0" w:rsidP="00AC37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82E55" w:rsidRPr="00811CF5" w:rsidRDefault="00382E55" w:rsidP="00382E55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11CF5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Firm Overview</w:t>
      </w:r>
    </w:p>
    <w:p w:rsidR="00382E55" w:rsidRDefault="00382E55" w:rsidP="0038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Goldman Sachs Managing Directors and a CEO of HSBC Asset management founded Arvella Investments with a dual ambition:</w:t>
      </w:r>
    </w:p>
    <w:p w:rsidR="00382E55" w:rsidRPr="00633A0A" w:rsidRDefault="00382E55" w:rsidP="0038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A0A">
        <w:rPr>
          <w:rFonts w:ascii="Times New Roman" w:hAnsi="Times New Roman" w:cs="Times New Roman"/>
          <w:b/>
          <w:bCs/>
          <w:sz w:val="24"/>
          <w:szCs w:val="24"/>
        </w:rPr>
        <w:t>Be world-class wealth investors</w:t>
      </w:r>
      <w:r w:rsidRPr="00633A0A">
        <w:rPr>
          <w:rFonts w:ascii="Times New Roman" w:hAnsi="Times New Roman" w:cs="Times New Roman"/>
          <w:sz w:val="24"/>
          <w:szCs w:val="24"/>
        </w:rPr>
        <w:t>. We invest for the long term, emulating non-profit endowments.</w:t>
      </w:r>
    </w:p>
    <w:p w:rsidR="00382E55" w:rsidRPr="00633A0A" w:rsidRDefault="00382E55" w:rsidP="0038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A0A">
        <w:rPr>
          <w:rFonts w:ascii="Times New Roman" w:hAnsi="Times New Roman" w:cs="Times New Roman"/>
          <w:b/>
          <w:bCs/>
          <w:sz w:val="24"/>
          <w:szCs w:val="24"/>
        </w:rPr>
        <w:t>Make our world a better place</w:t>
      </w:r>
      <w:r w:rsidRPr="00633A0A">
        <w:rPr>
          <w:rFonts w:ascii="Times New Roman" w:hAnsi="Times New Roman" w:cs="Times New Roman"/>
          <w:sz w:val="24"/>
          <w:szCs w:val="24"/>
        </w:rPr>
        <w:t xml:space="preserve">. We promote better environmental, social and governance outcomes. We also </w:t>
      </w:r>
      <w:r>
        <w:rPr>
          <w:rFonts w:ascii="Times New Roman" w:hAnsi="Times New Roman" w:cs="Times New Roman"/>
          <w:sz w:val="24"/>
          <w:szCs w:val="24"/>
        </w:rPr>
        <w:t>donate the equivalent of 20% of profits to</w:t>
      </w:r>
      <w:r w:rsidRPr="00633A0A">
        <w:rPr>
          <w:rFonts w:ascii="Times New Roman" w:hAnsi="Times New Roman" w:cs="Times New Roman"/>
          <w:sz w:val="24"/>
          <w:szCs w:val="24"/>
        </w:rPr>
        <w:t xml:space="preserve"> charities.</w:t>
      </w:r>
    </w:p>
    <w:p w:rsidR="00382E55" w:rsidRDefault="00382E55" w:rsidP="0038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Arvella has offices in London and Paris.</w:t>
      </w:r>
    </w:p>
    <w:p w:rsidR="00AC3764" w:rsidRDefault="00AC3764">
      <w:pPr>
        <w:rPr>
          <w:rFonts w:ascii="Times New Roman" w:hAnsi="Times New Roman" w:cs="Times New Roman"/>
          <w:sz w:val="24"/>
          <w:szCs w:val="24"/>
        </w:rPr>
      </w:pPr>
    </w:p>
    <w:sectPr w:rsidR="00AC3764" w:rsidSect="0064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E6" w:rsidRDefault="00C823E6" w:rsidP="00504EDC">
      <w:pPr>
        <w:spacing w:after="0" w:line="240" w:lineRule="auto"/>
      </w:pPr>
      <w:r>
        <w:separator/>
      </w:r>
    </w:p>
  </w:endnote>
  <w:endnote w:type="continuationSeparator" w:id="0">
    <w:p w:rsidR="00C823E6" w:rsidRDefault="00C823E6" w:rsidP="0050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E6" w:rsidRDefault="00C823E6" w:rsidP="00504EDC">
      <w:pPr>
        <w:spacing w:after="0" w:line="240" w:lineRule="auto"/>
      </w:pPr>
      <w:r>
        <w:separator/>
      </w:r>
    </w:p>
  </w:footnote>
  <w:footnote w:type="continuationSeparator" w:id="0">
    <w:p w:rsidR="00C823E6" w:rsidRDefault="00C823E6" w:rsidP="00504EDC">
      <w:pPr>
        <w:spacing w:after="0" w:line="240" w:lineRule="auto"/>
      </w:pPr>
      <w:r>
        <w:continuationSeparator/>
      </w:r>
    </w:p>
  </w:footnote>
  <w:footnote w:id="1">
    <w:p w:rsidR="009F4E83" w:rsidRPr="006E60D0" w:rsidRDefault="009F4E83" w:rsidP="006E60D0">
      <w:pPr>
        <w:pStyle w:val="FootnoteText"/>
        <w:rPr>
          <w:rFonts w:ascii="Times New Roman" w:hAnsi="Times New Roman" w:cs="Times New Roman"/>
        </w:rPr>
      </w:pPr>
      <w:r w:rsidRPr="006E60D0">
        <w:rPr>
          <w:rStyle w:val="FootnoteReference"/>
          <w:rFonts w:ascii="Times New Roman" w:hAnsi="Times New Roman" w:cs="Times New Roman"/>
        </w:rPr>
        <w:footnoteRef/>
      </w:r>
      <w:r w:rsidRPr="006E60D0">
        <w:rPr>
          <w:rFonts w:ascii="Times New Roman" w:hAnsi="Times New Roman" w:cs="Times New Roman"/>
        </w:rPr>
        <w:t xml:space="preserve"> Global Sustainable Investment Alliance, 2018 Review</w:t>
      </w:r>
      <w:r w:rsidR="006E60D0" w:rsidRPr="006E60D0">
        <w:rPr>
          <w:rFonts w:ascii="Times New Roman" w:hAnsi="Times New Roman" w:cs="Times New Roman"/>
        </w:rPr>
        <w:t xml:space="preserve">. </w:t>
      </w:r>
    </w:p>
  </w:footnote>
  <w:footnote w:id="2">
    <w:p w:rsidR="009D0524" w:rsidRPr="006E60D0" w:rsidRDefault="009D0524" w:rsidP="006E60D0">
      <w:pPr>
        <w:pStyle w:val="FootnoteText"/>
        <w:rPr>
          <w:rFonts w:ascii="Times New Roman" w:hAnsi="Times New Roman" w:cs="Times New Roman"/>
        </w:rPr>
      </w:pPr>
      <w:r w:rsidRPr="006E60D0">
        <w:rPr>
          <w:rStyle w:val="FootnoteReference"/>
          <w:rFonts w:ascii="Times New Roman" w:hAnsi="Times New Roman" w:cs="Times New Roman"/>
        </w:rPr>
        <w:footnoteRef/>
      </w:r>
      <w:r w:rsidRPr="006E60D0">
        <w:rPr>
          <w:rFonts w:ascii="Times New Roman" w:hAnsi="Times New Roman" w:cs="Times New Roman"/>
        </w:rPr>
        <w:t xml:space="preserve"> </w:t>
      </w:r>
      <w:hyperlink r:id="rId1" w:history="1">
        <w:r w:rsidRPr="006E60D0">
          <w:t>https://www.bloomberg.com/news/articles/2018-12-31/shift-from-active-to-passive-approaches-tipping-point-in-2019</w:t>
        </w:r>
      </w:hyperlink>
    </w:p>
  </w:footnote>
  <w:footnote w:id="3">
    <w:p w:rsidR="008139B3" w:rsidRPr="006E60D0" w:rsidRDefault="008139B3" w:rsidP="006E60D0">
      <w:pPr>
        <w:pStyle w:val="FootnoteText"/>
        <w:rPr>
          <w:rFonts w:ascii="Times New Roman" w:hAnsi="Times New Roman" w:cs="Times New Roman"/>
        </w:rPr>
      </w:pPr>
      <w:r w:rsidRPr="006E60D0">
        <w:rPr>
          <w:rStyle w:val="FootnoteReference"/>
          <w:rFonts w:ascii="Times New Roman" w:hAnsi="Times New Roman" w:cs="Times New Roman"/>
        </w:rPr>
        <w:footnoteRef/>
      </w:r>
      <w:r w:rsidRPr="006E60D0">
        <w:rPr>
          <w:rFonts w:ascii="Times New Roman" w:hAnsi="Times New Roman" w:cs="Times New Roman"/>
        </w:rPr>
        <w:t xml:space="preserve"> Goss, Allen, and Gordon S. Roberts. 2011. “The Impact of Corporate Social Responsibility on the Cost of Bank Loans.” Journal of Banking &amp; Finance 35 (7): 1794–1810.</w:t>
      </w:r>
    </w:p>
  </w:footnote>
  <w:footnote w:id="4">
    <w:p w:rsidR="00504EDC" w:rsidRPr="006E60D0" w:rsidRDefault="00504EDC" w:rsidP="006E60D0">
      <w:pPr>
        <w:pStyle w:val="Bibliography"/>
        <w:spacing w:after="0"/>
        <w:rPr>
          <w:rFonts w:ascii="Times New Roman" w:hAnsi="Times New Roman" w:cs="Times New Roman"/>
          <w:sz w:val="20"/>
          <w:szCs w:val="20"/>
        </w:rPr>
      </w:pPr>
      <w:r w:rsidRPr="006E60D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E6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0D0">
        <w:rPr>
          <w:rFonts w:ascii="Times New Roman" w:hAnsi="Times New Roman" w:cs="Times New Roman"/>
          <w:sz w:val="20"/>
          <w:szCs w:val="20"/>
        </w:rPr>
        <w:t>Ertimur</w:t>
      </w:r>
      <w:proofErr w:type="spellEnd"/>
      <w:r w:rsidRPr="006E60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E60D0">
        <w:rPr>
          <w:rFonts w:ascii="Times New Roman" w:hAnsi="Times New Roman" w:cs="Times New Roman"/>
          <w:sz w:val="20"/>
          <w:szCs w:val="20"/>
        </w:rPr>
        <w:t>Yonca</w:t>
      </w:r>
      <w:proofErr w:type="spellEnd"/>
      <w:r w:rsidRPr="006E60D0">
        <w:rPr>
          <w:rFonts w:ascii="Times New Roman" w:hAnsi="Times New Roman" w:cs="Times New Roman"/>
          <w:sz w:val="20"/>
          <w:szCs w:val="20"/>
        </w:rPr>
        <w:t xml:space="preserve">, Fabrizio </w:t>
      </w:r>
      <w:proofErr w:type="spellStart"/>
      <w:r w:rsidRPr="006E60D0">
        <w:rPr>
          <w:rFonts w:ascii="Times New Roman" w:hAnsi="Times New Roman" w:cs="Times New Roman"/>
          <w:sz w:val="20"/>
          <w:szCs w:val="20"/>
        </w:rPr>
        <w:t>Ferri</w:t>
      </w:r>
      <w:proofErr w:type="spellEnd"/>
      <w:r w:rsidRPr="006E60D0">
        <w:rPr>
          <w:rFonts w:ascii="Times New Roman" w:hAnsi="Times New Roman" w:cs="Times New Roman"/>
          <w:sz w:val="20"/>
          <w:szCs w:val="20"/>
        </w:rPr>
        <w:t>, and Volkan Muslu. 2010. “Shareholder Activism and CEO Pay.” The Review of Financial Studies 24 (2): 535–92.</w:t>
      </w:r>
    </w:p>
  </w:footnote>
  <w:footnote w:id="5">
    <w:p w:rsidR="00C868EA" w:rsidRPr="006E60D0" w:rsidRDefault="00C868EA" w:rsidP="006E60D0">
      <w:pPr>
        <w:pStyle w:val="Bibliography"/>
        <w:spacing w:after="0"/>
        <w:rPr>
          <w:rFonts w:ascii="Times New Roman" w:hAnsi="Times New Roman" w:cs="Times New Roman"/>
          <w:sz w:val="20"/>
          <w:szCs w:val="20"/>
        </w:rPr>
      </w:pPr>
      <w:r w:rsidRPr="006E60D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82E55">
        <w:rPr>
          <w:rFonts w:ascii="Times New Roman" w:hAnsi="Times New Roman" w:cs="Times New Roman"/>
          <w:sz w:val="20"/>
          <w:szCs w:val="20"/>
        </w:rPr>
        <w:t xml:space="preserve"> Cuñat, Vicente, Mireia Gine, and Maria Guadalupe. </w:t>
      </w:r>
      <w:r w:rsidRPr="006E60D0">
        <w:rPr>
          <w:rFonts w:ascii="Times New Roman" w:hAnsi="Times New Roman" w:cs="Times New Roman"/>
          <w:sz w:val="20"/>
          <w:szCs w:val="20"/>
        </w:rPr>
        <w:t>2012. “The Vote Is Cast: The Effect of Corporate Governance on Shareholder Value.” The Journal of Finance 67 (5): 1943–77.</w:t>
      </w:r>
    </w:p>
  </w:footnote>
  <w:footnote w:id="6">
    <w:p w:rsidR="00A97D72" w:rsidRPr="00A97D72" w:rsidRDefault="00A97D72" w:rsidP="006E60D0">
      <w:pPr>
        <w:pStyle w:val="Bibliography"/>
        <w:spacing w:after="0"/>
        <w:rPr>
          <w:rFonts w:ascii="Times New Roman" w:hAnsi="Times New Roman" w:cs="Times New Roman"/>
          <w:sz w:val="24"/>
          <w:szCs w:val="24"/>
        </w:rPr>
      </w:pPr>
      <w:r w:rsidRPr="006E60D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E6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0D0">
        <w:rPr>
          <w:rFonts w:ascii="Times New Roman" w:hAnsi="Times New Roman" w:cs="Times New Roman"/>
          <w:sz w:val="20"/>
          <w:szCs w:val="20"/>
        </w:rPr>
        <w:t>Dimson</w:t>
      </w:r>
      <w:proofErr w:type="spellEnd"/>
      <w:r w:rsidRPr="006E60D0">
        <w:rPr>
          <w:rFonts w:ascii="Times New Roman" w:hAnsi="Times New Roman" w:cs="Times New Roman"/>
          <w:sz w:val="20"/>
          <w:szCs w:val="20"/>
        </w:rPr>
        <w:t xml:space="preserve">, Elroy, </w:t>
      </w:r>
      <w:proofErr w:type="spellStart"/>
      <w:r w:rsidRPr="006E60D0">
        <w:rPr>
          <w:rFonts w:ascii="Times New Roman" w:hAnsi="Times New Roman" w:cs="Times New Roman"/>
          <w:sz w:val="20"/>
          <w:szCs w:val="20"/>
        </w:rPr>
        <w:t>Oğuzhan</w:t>
      </w:r>
      <w:proofErr w:type="spellEnd"/>
      <w:r w:rsidRPr="006E60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0D0">
        <w:rPr>
          <w:rFonts w:ascii="Times New Roman" w:hAnsi="Times New Roman" w:cs="Times New Roman"/>
          <w:sz w:val="20"/>
          <w:szCs w:val="20"/>
        </w:rPr>
        <w:t>Karakaş</w:t>
      </w:r>
      <w:proofErr w:type="spellEnd"/>
      <w:r w:rsidRPr="006E60D0">
        <w:rPr>
          <w:rFonts w:ascii="Times New Roman" w:hAnsi="Times New Roman" w:cs="Times New Roman"/>
          <w:sz w:val="20"/>
          <w:szCs w:val="20"/>
        </w:rPr>
        <w:t xml:space="preserve">, and Xi Li. 2015. “Active Ownership.” </w:t>
      </w:r>
      <w:r w:rsidRPr="006E60D0">
        <w:rPr>
          <w:rFonts w:ascii="Times New Roman" w:hAnsi="Times New Roman" w:cs="Times New Roman"/>
          <w:i/>
          <w:iCs/>
          <w:sz w:val="20"/>
          <w:szCs w:val="20"/>
        </w:rPr>
        <w:t>The Review of Financial Studies</w:t>
      </w:r>
      <w:r w:rsidRPr="006E60D0">
        <w:rPr>
          <w:rFonts w:ascii="Times New Roman" w:hAnsi="Times New Roman" w:cs="Times New Roman"/>
          <w:sz w:val="20"/>
          <w:szCs w:val="20"/>
        </w:rPr>
        <w:t xml:space="preserve"> 28 (12): 3225–68.</w:t>
      </w:r>
    </w:p>
  </w:footnote>
  <w:footnote w:id="7">
    <w:p w:rsidR="00C44622" w:rsidRPr="006E60D0" w:rsidRDefault="00C44622">
      <w:pPr>
        <w:pStyle w:val="FootnoteText"/>
        <w:rPr>
          <w:rFonts w:ascii="Times New Roman" w:hAnsi="Times New Roman" w:cs="Times New Roman"/>
        </w:rPr>
      </w:pPr>
      <w:r w:rsidRPr="006E60D0">
        <w:rPr>
          <w:rStyle w:val="FootnoteReference"/>
          <w:rFonts w:ascii="Times New Roman" w:hAnsi="Times New Roman" w:cs="Times New Roman"/>
        </w:rPr>
        <w:footnoteRef/>
      </w:r>
      <w:r w:rsidRPr="006E60D0">
        <w:rPr>
          <w:rFonts w:ascii="Times New Roman" w:hAnsi="Times New Roman" w:cs="Times New Roman"/>
        </w:rPr>
        <w:t xml:space="preserve"> Gladman, Kimberly. 2018. “Asset Manager Climate Scorecard 2018.” 50/50 Climate Project. </w:t>
      </w:r>
      <w:hyperlink r:id="rId2" w:history="1">
        <w:r w:rsidRPr="006E60D0">
          <w:rPr>
            <w:rFonts w:ascii="Times New Roman" w:hAnsi="Times New Roman" w:cs="Times New Roman"/>
          </w:rPr>
          <w:t>https://5050climate.org/news/2018-key-climate-vote-survey/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73C"/>
    <w:multiLevelType w:val="hybridMultilevel"/>
    <w:tmpl w:val="AAE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42C"/>
    <w:multiLevelType w:val="hybridMultilevel"/>
    <w:tmpl w:val="53543162"/>
    <w:lvl w:ilvl="0" w:tplc="DAF8D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A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E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2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6F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03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0F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1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521CD2"/>
    <w:multiLevelType w:val="hybridMultilevel"/>
    <w:tmpl w:val="D99C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1F9D"/>
    <w:multiLevelType w:val="hybridMultilevel"/>
    <w:tmpl w:val="DD80240C"/>
    <w:lvl w:ilvl="0" w:tplc="26A4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20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0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21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E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A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8F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65"/>
    <w:rsid w:val="0003033B"/>
    <w:rsid w:val="00053C50"/>
    <w:rsid w:val="00054C87"/>
    <w:rsid w:val="000967A3"/>
    <w:rsid w:val="000D7CB2"/>
    <w:rsid w:val="00117DE6"/>
    <w:rsid w:val="00130BFC"/>
    <w:rsid w:val="00224D02"/>
    <w:rsid w:val="00281C4A"/>
    <w:rsid w:val="00286EE0"/>
    <w:rsid w:val="00310B13"/>
    <w:rsid w:val="003717CE"/>
    <w:rsid w:val="00382E55"/>
    <w:rsid w:val="003A596D"/>
    <w:rsid w:val="003F71D4"/>
    <w:rsid w:val="00504EDC"/>
    <w:rsid w:val="00537B11"/>
    <w:rsid w:val="005B0094"/>
    <w:rsid w:val="005C63D9"/>
    <w:rsid w:val="00633A0A"/>
    <w:rsid w:val="00643CEB"/>
    <w:rsid w:val="006531B8"/>
    <w:rsid w:val="00656A83"/>
    <w:rsid w:val="00670897"/>
    <w:rsid w:val="006734F5"/>
    <w:rsid w:val="006B0BD0"/>
    <w:rsid w:val="006E60D0"/>
    <w:rsid w:val="006F4603"/>
    <w:rsid w:val="0076035B"/>
    <w:rsid w:val="007A1652"/>
    <w:rsid w:val="00811CF5"/>
    <w:rsid w:val="008139B3"/>
    <w:rsid w:val="008C00BB"/>
    <w:rsid w:val="00900795"/>
    <w:rsid w:val="009C6274"/>
    <w:rsid w:val="009D0524"/>
    <w:rsid w:val="009F4E83"/>
    <w:rsid w:val="00A3597B"/>
    <w:rsid w:val="00A73949"/>
    <w:rsid w:val="00A97D72"/>
    <w:rsid w:val="00AC3764"/>
    <w:rsid w:val="00AD42B3"/>
    <w:rsid w:val="00BB000E"/>
    <w:rsid w:val="00BF4379"/>
    <w:rsid w:val="00C04352"/>
    <w:rsid w:val="00C44622"/>
    <w:rsid w:val="00C64CAB"/>
    <w:rsid w:val="00C771A7"/>
    <w:rsid w:val="00C823E6"/>
    <w:rsid w:val="00C868EA"/>
    <w:rsid w:val="00D34F4F"/>
    <w:rsid w:val="00D63AC4"/>
    <w:rsid w:val="00DB7D94"/>
    <w:rsid w:val="00DC576D"/>
    <w:rsid w:val="00E117E3"/>
    <w:rsid w:val="00E37408"/>
    <w:rsid w:val="00E73465"/>
    <w:rsid w:val="00E93155"/>
    <w:rsid w:val="00EA3490"/>
    <w:rsid w:val="00EE4A48"/>
    <w:rsid w:val="00FC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ED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504EDC"/>
  </w:style>
  <w:style w:type="character" w:styleId="FollowedHyperlink">
    <w:name w:val="FollowedHyperlink"/>
    <w:basedOn w:val="DefaultParagraphFont"/>
    <w:uiPriority w:val="99"/>
    <w:semiHidden/>
    <w:unhideWhenUsed/>
    <w:rsid w:val="00C868EA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24D02"/>
    <w:rPr>
      <w:color w:val="0000FF"/>
      <w:u w:val="single"/>
    </w:rPr>
  </w:style>
  <w:style w:type="character" w:customStyle="1" w:styleId="highwire-cite-metadata-journal">
    <w:name w:val="highwire-cite-metadata-journal"/>
    <w:basedOn w:val="DefaultParagraphFont"/>
    <w:rsid w:val="00633A0A"/>
  </w:style>
  <w:style w:type="character" w:customStyle="1" w:styleId="highwire-cite-metadata-coverdate">
    <w:name w:val="highwire-cite-metadata-coverdate"/>
    <w:basedOn w:val="DefaultParagraphFont"/>
    <w:rsid w:val="00633A0A"/>
  </w:style>
  <w:style w:type="character" w:customStyle="1" w:styleId="highwire-cite-metadata-pages">
    <w:name w:val="highwire-cite-metadata-pages"/>
    <w:basedOn w:val="DefaultParagraphFont"/>
    <w:rsid w:val="00633A0A"/>
  </w:style>
  <w:style w:type="character" w:customStyle="1" w:styleId="highwire-cite-metadata-doi">
    <w:name w:val="highwire-cite-metadata-doi"/>
    <w:basedOn w:val="DefaultParagraphFont"/>
    <w:rsid w:val="0063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5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6431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7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38726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05/jii.2019.1.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5050climate.org/news/2018-key-climate-vote-survey/" TargetMode="External"/><Relationship Id="rId1" Type="http://schemas.openxmlformats.org/officeDocument/2006/relationships/hyperlink" Target="https://www.bloomberg.com/news/articles/2018-12-31/shift-from-active-to-passive-approaches-tipping-point-in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CE08-9EFA-4884-9ED3-998F070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Mercereau</dc:creator>
  <cp:lastModifiedBy>gmm</cp:lastModifiedBy>
  <cp:revision>2</cp:revision>
  <dcterms:created xsi:type="dcterms:W3CDTF">2019-10-10T17:30:00Z</dcterms:created>
  <dcterms:modified xsi:type="dcterms:W3CDTF">2019-10-10T17:30:00Z</dcterms:modified>
</cp:coreProperties>
</file>